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95" w:rsidRPr="002F1B57" w:rsidRDefault="00FA6C3E" w:rsidP="002F1B57">
      <w:pPr>
        <w:bidi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F1B57">
        <w:rPr>
          <w:rFonts w:asciiTheme="majorBidi" w:hAnsiTheme="majorBidi" w:cstheme="majorBidi"/>
          <w:b/>
          <w:bCs/>
          <w:sz w:val="36"/>
          <w:szCs w:val="36"/>
        </w:rPr>
        <w:t xml:space="preserve">(M.E. </w:t>
      </w:r>
      <w:proofErr w:type="spellStart"/>
      <w:r w:rsidRPr="002F1B57">
        <w:rPr>
          <w:rFonts w:asciiTheme="majorBidi" w:hAnsiTheme="majorBidi" w:cstheme="majorBidi"/>
          <w:b/>
          <w:bCs/>
          <w:sz w:val="36"/>
          <w:szCs w:val="36"/>
        </w:rPr>
        <w:t>Mahrouse</w:t>
      </w:r>
      <w:proofErr w:type="spellEnd"/>
      <w:r w:rsidRPr="002F1B57">
        <w:rPr>
          <w:rFonts w:asciiTheme="majorBidi" w:hAnsiTheme="majorBidi" w:cstheme="majorBidi"/>
          <w:b/>
          <w:bCs/>
          <w:sz w:val="36"/>
          <w:szCs w:val="36"/>
        </w:rPr>
        <w:t>)</w:t>
      </w:r>
      <w:r w:rsidR="001A6F95" w:rsidRPr="002F1B57">
        <w:rPr>
          <w:rFonts w:asciiTheme="majorBidi" w:eastAsia="Times New Roman" w:hAnsiTheme="majorBidi" w:cstheme="majorBidi"/>
          <w:b/>
          <w:bCs/>
          <w:sz w:val="28"/>
          <w:szCs w:val="28"/>
        </w:rPr>
        <w:t>:</w:t>
      </w:r>
      <w:r w:rsidR="001A6F95"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hyperlink r:id="rId4" w:history="1">
        <w:r w:rsidR="001A6F95" w:rsidRPr="002F1B57">
          <w:rPr>
            <w:rStyle w:val="Hyperlink"/>
            <w:rFonts w:asciiTheme="majorBidi" w:hAnsiTheme="majorBidi" w:cstheme="majorBidi"/>
            <w:b/>
            <w:bCs/>
            <w:color w:val="auto"/>
            <w:sz w:val="28"/>
            <w:szCs w:val="28"/>
            <w:shd w:val="clear" w:color="auto" w:fill="FFFFFF"/>
          </w:rPr>
          <w:t>Egypt: System of education</w:t>
        </w:r>
        <w:r w:rsidR="001A6F95" w:rsidRPr="002F1B57">
          <w:rPr>
            <w:rStyle w:val="Hyperlink"/>
            <w:rFonts w:asciiTheme="majorBidi" w:hAnsiTheme="majorBidi" w:cstheme="majorBidi"/>
            <w:b/>
            <w:bCs/>
            <w:color w:val="auto"/>
            <w:sz w:val="28"/>
            <w:szCs w:val="28"/>
            <w:shd w:val="clear" w:color="auto" w:fill="FFFFFF"/>
            <w:rtl/>
          </w:rPr>
          <w:t>‏</w:t>
        </w:r>
      </w:hyperlink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 , </w:t>
      </w:r>
    </w:p>
    <w:p w:rsidR="00CE57B2" w:rsidRPr="002F1B57" w:rsidRDefault="00CE57B2" w:rsidP="002F1B57">
      <w:pPr>
        <w:pStyle w:val="1"/>
        <w:bidi w:val="0"/>
        <w:spacing w:before="0" w:line="240" w:lineRule="auto"/>
        <w:textAlignment w:val="baseline"/>
        <w:rPr>
          <w:rFonts w:asciiTheme="majorBidi" w:hAnsiTheme="majorBidi"/>
          <w:color w:val="auto"/>
        </w:rPr>
      </w:pPr>
      <w:r w:rsidRPr="002F1B57">
        <w:rPr>
          <w:rFonts w:asciiTheme="majorBidi" w:hAnsiTheme="majorBidi"/>
          <w:color w:val="auto"/>
        </w:rPr>
        <w:t>International Encyclopedia of National Systems of Education</w:t>
      </w:r>
    </w:p>
    <w:p w:rsidR="00CE57B2" w:rsidRPr="002F1B57" w:rsidRDefault="00CE57B2" w:rsidP="002F1B57">
      <w:pPr>
        <w:pStyle w:val="2"/>
        <w:bidi w:val="0"/>
        <w:spacing w:before="0" w:line="240" w:lineRule="auto"/>
        <w:textAlignment w:val="baseline"/>
        <w:rPr>
          <w:rFonts w:asciiTheme="majorBidi" w:hAnsiTheme="majorBidi"/>
          <w:color w:val="auto"/>
          <w:sz w:val="28"/>
          <w:szCs w:val="28"/>
        </w:rPr>
      </w:pPr>
      <w:r w:rsidRPr="002F1B57">
        <w:rPr>
          <w:rFonts w:asciiTheme="majorBidi" w:hAnsiTheme="majorBidi"/>
          <w:color w:val="auto"/>
          <w:sz w:val="28"/>
          <w:szCs w:val="28"/>
        </w:rPr>
        <w:t>2nd Edition</w:t>
      </w:r>
    </w:p>
    <w:p w:rsidR="00CE57B2" w:rsidRPr="002F1B57" w:rsidRDefault="00CE57B2" w:rsidP="002F1B57">
      <w:pPr>
        <w:shd w:val="clear" w:color="auto" w:fill="FFFFFF"/>
        <w:bidi w:val="0"/>
        <w:spacing w:after="0" w:line="240" w:lineRule="auto"/>
        <w:textAlignment w:val="baseline"/>
        <w:rPr>
          <w:rFonts w:asciiTheme="majorBidi" w:hAnsiTheme="majorBidi" w:cstheme="majorBidi"/>
          <w:sz w:val="28"/>
          <w:szCs w:val="28"/>
        </w:rPr>
      </w:pPr>
      <w:r w:rsidRPr="002F1B57">
        <w:rPr>
          <w:rStyle w:val="a3"/>
          <w:rFonts w:asciiTheme="majorBidi" w:hAnsiTheme="majorBidi" w:cstheme="majorBidi"/>
          <w:sz w:val="28"/>
          <w:szCs w:val="28"/>
        </w:rPr>
        <w:t>Editors: </w:t>
      </w:r>
      <w:r w:rsidRPr="00FB058E">
        <w:rPr>
          <w:rStyle w:val="inline"/>
          <w:rFonts w:asciiTheme="majorBidi" w:hAnsiTheme="majorBidi" w:cstheme="majorBidi"/>
          <w:b/>
          <w:bCs/>
          <w:sz w:val="28"/>
          <w:szCs w:val="28"/>
        </w:rPr>
        <w:t xml:space="preserve">T.N. </w:t>
      </w:r>
      <w:proofErr w:type="spellStart"/>
      <w:r w:rsidRPr="00FB058E">
        <w:rPr>
          <w:rStyle w:val="inline"/>
          <w:rFonts w:asciiTheme="majorBidi" w:hAnsiTheme="majorBidi" w:cstheme="majorBidi"/>
          <w:b/>
          <w:bCs/>
          <w:sz w:val="28"/>
          <w:szCs w:val="28"/>
        </w:rPr>
        <w:t>Postlethwaite</w:t>
      </w:r>
      <w:proofErr w:type="spellEnd"/>
    </w:p>
    <w:p w:rsidR="00CE57B2" w:rsidRPr="002F1B57" w:rsidRDefault="00CE57B2" w:rsidP="002F1B57">
      <w:pPr>
        <w:shd w:val="clear" w:color="auto" w:fill="FFFFFF"/>
        <w:bidi w:val="0"/>
        <w:spacing w:after="0" w:line="240" w:lineRule="auto"/>
        <w:textAlignment w:val="baseline"/>
        <w:rPr>
          <w:rFonts w:asciiTheme="majorBidi" w:hAnsiTheme="majorBidi" w:cstheme="majorBidi"/>
          <w:sz w:val="28"/>
          <w:szCs w:val="28"/>
        </w:rPr>
      </w:pPr>
      <w:r w:rsidRPr="002F1B57">
        <w:rPr>
          <w:rStyle w:val="a3"/>
          <w:rFonts w:asciiTheme="majorBidi" w:hAnsiTheme="majorBidi" w:cstheme="majorBidi"/>
          <w:sz w:val="28"/>
          <w:szCs w:val="28"/>
        </w:rPr>
        <w:t>Imprint:</w:t>
      </w:r>
      <w:r w:rsidRPr="002F1B57">
        <w:rPr>
          <w:rFonts w:asciiTheme="majorBidi" w:hAnsiTheme="majorBidi" w:cstheme="majorBidi"/>
          <w:sz w:val="28"/>
          <w:szCs w:val="28"/>
        </w:rPr>
        <w:t> </w:t>
      </w:r>
      <w:proofErr w:type="spellStart"/>
      <w:r w:rsidRPr="00FB058E">
        <w:rPr>
          <w:rFonts w:asciiTheme="majorBidi" w:hAnsiTheme="majorBidi" w:cstheme="majorBidi"/>
          <w:b/>
          <w:bCs/>
          <w:sz w:val="28"/>
          <w:szCs w:val="28"/>
        </w:rPr>
        <w:t>Pergamon</w:t>
      </w:r>
      <w:proofErr w:type="spellEnd"/>
    </w:p>
    <w:p w:rsidR="00CE57B2" w:rsidRPr="002F1B57" w:rsidRDefault="00CE57B2" w:rsidP="002F1B57">
      <w:pPr>
        <w:shd w:val="clear" w:color="auto" w:fill="FFFFFF"/>
        <w:bidi w:val="0"/>
        <w:spacing w:after="0" w:line="240" w:lineRule="auto"/>
        <w:textAlignment w:val="baseline"/>
        <w:rPr>
          <w:rFonts w:asciiTheme="majorBidi" w:hAnsiTheme="majorBidi" w:cstheme="majorBidi"/>
          <w:sz w:val="28"/>
          <w:szCs w:val="28"/>
        </w:rPr>
      </w:pPr>
      <w:r w:rsidRPr="002F1B57">
        <w:rPr>
          <w:rStyle w:val="a3"/>
          <w:rFonts w:asciiTheme="majorBidi" w:hAnsiTheme="majorBidi" w:cstheme="majorBidi"/>
          <w:sz w:val="28"/>
          <w:szCs w:val="28"/>
        </w:rPr>
        <w:t>Published Date:</w:t>
      </w:r>
      <w:r w:rsidRPr="002F1B57">
        <w:rPr>
          <w:rFonts w:asciiTheme="majorBidi" w:hAnsiTheme="majorBidi" w:cstheme="majorBidi"/>
          <w:sz w:val="28"/>
          <w:szCs w:val="28"/>
        </w:rPr>
        <w:t> </w:t>
      </w:r>
      <w:r w:rsidRPr="00FB058E">
        <w:rPr>
          <w:rFonts w:asciiTheme="majorBidi" w:hAnsiTheme="majorBidi" w:cstheme="majorBidi"/>
          <w:b/>
          <w:bCs/>
          <w:sz w:val="28"/>
          <w:szCs w:val="28"/>
        </w:rPr>
        <w:t>7th July 1995</w:t>
      </w:r>
    </w:p>
    <w:p w:rsidR="001A6F95" w:rsidRPr="002F1B57" w:rsidRDefault="001A6F95" w:rsidP="002F1B57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  <w:r w:rsidRPr="002F1B57">
        <w:rPr>
          <w:rFonts w:asciiTheme="majorBidi" w:hAnsiTheme="majorBidi" w:cstheme="majorBidi"/>
          <w:b/>
          <w:bCs/>
          <w:sz w:val="28"/>
          <w:szCs w:val="28"/>
        </w:rPr>
        <w:t>This Encyclopedia, arranged alphabetically, contains 152 articles on national systems of education. The reviews are all structured in the same way, providing the following information.</w:t>
      </w:r>
    </w:p>
    <w:p w:rsidR="001A6F95" w:rsidRPr="002F1B57" w:rsidRDefault="001A6F95" w:rsidP="002F1B57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• general background information,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eg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>. geographical, social structure, economic factors.</w:t>
      </w:r>
    </w:p>
    <w:p w:rsidR="001A6F95" w:rsidRPr="002F1B57" w:rsidRDefault="001A6F95" w:rsidP="002F1B57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  <w:r w:rsidRPr="002F1B57">
        <w:rPr>
          <w:rFonts w:asciiTheme="majorBidi" w:hAnsiTheme="majorBidi" w:cstheme="majorBidi"/>
          <w:b/>
          <w:bCs/>
          <w:sz w:val="28"/>
          <w:szCs w:val="28"/>
        </w:rPr>
        <w:t>• politics and goals of the educational system.</w:t>
      </w:r>
    </w:p>
    <w:p w:rsidR="001A6F95" w:rsidRPr="002F1B57" w:rsidRDefault="001A6F95" w:rsidP="002F1B57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  <w:r w:rsidRPr="002F1B57">
        <w:rPr>
          <w:rFonts w:asciiTheme="majorBidi" w:hAnsiTheme="majorBidi" w:cstheme="majorBidi"/>
          <w:b/>
          <w:bCs/>
          <w:sz w:val="28"/>
          <w:szCs w:val="28"/>
        </w:rPr>
        <w:t>• the formal structure of education.</w:t>
      </w:r>
    </w:p>
    <w:p w:rsidR="001A6F95" w:rsidRPr="002F1B57" w:rsidRDefault="001A6F95" w:rsidP="002F1B57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  <w:r w:rsidRPr="002F1B57">
        <w:rPr>
          <w:rFonts w:asciiTheme="majorBidi" w:hAnsiTheme="majorBidi" w:cstheme="majorBidi"/>
          <w:b/>
          <w:bCs/>
          <w:sz w:val="28"/>
          <w:szCs w:val="28"/>
        </w:rPr>
        <w:t>• administrative and supervisory structure.</w:t>
      </w:r>
    </w:p>
    <w:p w:rsidR="001A6F95" w:rsidRPr="002F1B57" w:rsidRDefault="001A6F95" w:rsidP="002F1B57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  <w:r w:rsidRPr="002F1B57">
        <w:rPr>
          <w:rFonts w:asciiTheme="majorBidi" w:hAnsiTheme="majorBidi" w:cstheme="majorBidi"/>
          <w:b/>
          <w:bCs/>
          <w:sz w:val="28"/>
          <w:szCs w:val="28"/>
        </w:rPr>
        <w:t>• educational finance.</w:t>
      </w:r>
    </w:p>
    <w:p w:rsidR="001A6F95" w:rsidRPr="002F1B57" w:rsidRDefault="001A6F95" w:rsidP="002F1B57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  <w:r w:rsidRPr="002F1B57">
        <w:rPr>
          <w:rFonts w:asciiTheme="majorBidi" w:hAnsiTheme="majorBidi" w:cstheme="majorBidi"/>
          <w:b/>
          <w:bCs/>
          <w:sz w:val="28"/>
          <w:szCs w:val="28"/>
        </w:rPr>
        <w:t>• personnel for the education system.</w:t>
      </w:r>
    </w:p>
    <w:p w:rsidR="001A6F95" w:rsidRPr="002F1B57" w:rsidRDefault="001A6F95" w:rsidP="002F1B57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  <w:r w:rsidRPr="002F1B57">
        <w:rPr>
          <w:rFonts w:asciiTheme="majorBidi" w:hAnsiTheme="majorBidi" w:cstheme="majorBidi"/>
          <w:b/>
          <w:bCs/>
          <w:sz w:val="28"/>
          <w:szCs w:val="28"/>
        </w:rPr>
        <w:t>• curriculum development.</w:t>
      </w:r>
    </w:p>
    <w:p w:rsidR="001A6F95" w:rsidRPr="002F1B57" w:rsidRDefault="001A6F95" w:rsidP="002F1B57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  <w:r w:rsidRPr="002F1B57">
        <w:rPr>
          <w:rFonts w:asciiTheme="majorBidi" w:hAnsiTheme="majorBidi" w:cstheme="majorBidi"/>
          <w:b/>
          <w:bCs/>
          <w:sz w:val="28"/>
          <w:szCs w:val="28"/>
        </w:rPr>
        <w:t>• examinations, promotion and certification.</w:t>
      </w:r>
    </w:p>
    <w:p w:rsidR="001A6F95" w:rsidRPr="002F1B57" w:rsidRDefault="001A6F95" w:rsidP="002F1B57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  <w:r w:rsidRPr="002F1B57">
        <w:rPr>
          <w:rFonts w:asciiTheme="majorBidi" w:hAnsiTheme="majorBidi" w:cstheme="majorBidi"/>
          <w:b/>
          <w:bCs/>
          <w:sz w:val="28"/>
          <w:szCs w:val="28"/>
        </w:rPr>
        <w:t>• educational assessment, evaluation and research.</w:t>
      </w:r>
    </w:p>
    <w:p w:rsidR="001A6F95" w:rsidRPr="002F1B57" w:rsidRDefault="001A6F95" w:rsidP="002F1B57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  <w:r w:rsidRPr="002F1B57">
        <w:rPr>
          <w:rFonts w:asciiTheme="majorBidi" w:hAnsiTheme="majorBidi" w:cstheme="majorBidi"/>
          <w:b/>
          <w:bCs/>
          <w:sz w:val="28"/>
          <w:szCs w:val="28"/>
        </w:rPr>
        <w:t>• review of the major reforms in the 1980s and early 1990s.</w:t>
      </w:r>
    </w:p>
    <w:p w:rsidR="001A6F95" w:rsidRPr="002F1B57" w:rsidRDefault="001A6F95" w:rsidP="002F1B57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  <w:r w:rsidRPr="002F1B57">
        <w:rPr>
          <w:rFonts w:asciiTheme="majorBidi" w:hAnsiTheme="majorBidi" w:cstheme="majorBidi"/>
          <w:b/>
          <w:bCs/>
          <w:sz w:val="28"/>
          <w:szCs w:val="28"/>
        </w:rPr>
        <w:t>• problems for the year 2000.</w:t>
      </w:r>
    </w:p>
    <w:p w:rsidR="001A6F95" w:rsidRPr="002F1B57" w:rsidRDefault="001A6F95" w:rsidP="002F1B57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  <w:r w:rsidRPr="002F1B57">
        <w:rPr>
          <w:rFonts w:asciiTheme="majorBidi" w:hAnsiTheme="majorBidi" w:cstheme="majorBidi"/>
          <w:b/>
          <w:bCs/>
          <w:sz w:val="28"/>
          <w:szCs w:val="28"/>
        </w:rPr>
        <w:t>• references and further reading.</w:t>
      </w:r>
    </w:p>
    <w:p w:rsidR="002F1B57" w:rsidRPr="002F1B57" w:rsidRDefault="002F1B57" w:rsidP="002F1B57">
      <w:pPr>
        <w:pStyle w:val="2"/>
        <w:bidi w:val="0"/>
        <w:spacing w:before="0" w:line="240" w:lineRule="auto"/>
        <w:textAlignment w:val="baseline"/>
        <w:rPr>
          <w:rFonts w:asciiTheme="majorBidi" w:hAnsiTheme="majorBidi"/>
          <w:color w:val="auto"/>
          <w:sz w:val="28"/>
          <w:szCs w:val="28"/>
        </w:rPr>
      </w:pPr>
      <w:r w:rsidRPr="002F1B57">
        <w:rPr>
          <w:rFonts w:asciiTheme="majorBidi" w:hAnsiTheme="majorBidi"/>
          <w:color w:val="auto"/>
          <w:sz w:val="28"/>
          <w:szCs w:val="28"/>
        </w:rPr>
        <w:t xml:space="preserve">About the Editor : T.N. </w:t>
      </w:r>
      <w:proofErr w:type="spellStart"/>
      <w:r w:rsidRPr="002F1B57">
        <w:rPr>
          <w:rFonts w:asciiTheme="majorBidi" w:hAnsiTheme="majorBidi"/>
          <w:color w:val="auto"/>
          <w:sz w:val="28"/>
          <w:szCs w:val="28"/>
        </w:rPr>
        <w:t>Postlethwaite</w:t>
      </w:r>
      <w:proofErr w:type="spellEnd"/>
      <w:r w:rsidRPr="002F1B57">
        <w:rPr>
          <w:rFonts w:asciiTheme="majorBidi" w:hAnsiTheme="majorBidi"/>
          <w:color w:val="auto"/>
          <w:sz w:val="28"/>
          <w:szCs w:val="28"/>
        </w:rPr>
        <w:t xml:space="preserve"> , Affiliations and Expertise</w:t>
      </w:r>
    </w:p>
    <w:p w:rsidR="002F1B57" w:rsidRPr="002F1B57" w:rsidRDefault="002F1B57" w:rsidP="002F1B57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  <w:r w:rsidRPr="002F1B57">
        <w:rPr>
          <w:rFonts w:asciiTheme="majorBidi" w:hAnsiTheme="majorBidi" w:cstheme="majorBidi"/>
          <w:b/>
          <w:bCs/>
          <w:sz w:val="28"/>
          <w:szCs w:val="28"/>
        </w:rPr>
        <w:t>Professor of Comparative Education, University of Hamburg, Germany</w:t>
      </w:r>
    </w:p>
    <w:p w:rsidR="00FA6C3E" w:rsidRPr="002F1B57" w:rsidRDefault="00FA6C3E" w:rsidP="002F1B57">
      <w:pPr>
        <w:pStyle w:val="2"/>
        <w:bidi w:val="0"/>
        <w:spacing w:before="0" w:line="240" w:lineRule="auto"/>
        <w:jc w:val="both"/>
        <w:textAlignment w:val="baseline"/>
        <w:rPr>
          <w:rFonts w:asciiTheme="majorBidi" w:hAnsiTheme="majorBidi"/>
          <w:color w:val="auto"/>
          <w:sz w:val="28"/>
          <w:szCs w:val="28"/>
        </w:rPr>
      </w:pPr>
      <w:r w:rsidRPr="002F1B57">
        <w:rPr>
          <w:rFonts w:asciiTheme="majorBidi" w:hAnsiTheme="majorBidi"/>
          <w:color w:val="auto"/>
          <w:sz w:val="28"/>
          <w:szCs w:val="28"/>
        </w:rPr>
        <w:t>Table of Contents</w:t>
      </w:r>
    </w:p>
    <w:p w:rsidR="00FA6C3E" w:rsidRPr="002F1B57" w:rsidRDefault="00FA6C3E" w:rsidP="002F1B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Afghanistan (F.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Haque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Albania (S.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Temo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Algeria (A.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Djeflat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American Samoa (R.M. Thomas). Antigua &amp; Barbuda (J. Knowles). Argentina (M.A. Petty). Australia (P.A. McKenzie). Austria (H.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Altrichter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, P.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Posch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Bahamas (M. McLean). Bahrain (N.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Wahbe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Bangladesh (M.M. Ali). Barbados (A. Layne, L.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Atherley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Belgium (A.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Philippart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Belize (J.A. Bennett). Benin (R. Sack). Bhutan (C.J.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Crellin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Bolivia (I.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Classen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-Bauer). Botswana (G.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Kgomanyane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Brazil (C.A. Gomes). Brunei Darussalam (D.H.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Azizah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Bulgaria (M.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Mateev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Burkina Faso (N.M.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Ouedraogo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, J.D.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Nombre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Burundi (M.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Rwehera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Cambodia (R.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Lambin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Cameroon (O.W.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Yembe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Canada (D.L. Berg). Central African Republic (D.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Limbassa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Chad (T.D.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Moadjidibaye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>). Chile (C. Rodriguez). China, People's Republic of (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Teng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Teng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Colombia (J. Mora). Congo (M.A. Husain). Costa Rica (F.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Reimers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Côte d'Ivoire (P.D.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Kokora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Cuba (E. Martin Sabina). Cyprus (C.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Papanastasiou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Czech Republic (J.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Kotasek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, J.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Svecova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Denmark (M. Jansen, S.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Kreiner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Dominica (M.E. Peters). </w:t>
      </w:r>
      <w:r w:rsidRPr="002F1B57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Ecuador (J.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Samaniego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 F.). </w:t>
      </w:r>
      <w:r w:rsidRPr="002F1B57">
        <w:rPr>
          <w:rFonts w:asciiTheme="majorBidi" w:hAnsiTheme="majorBidi" w:cstheme="majorBidi"/>
          <w:b/>
          <w:bCs/>
          <w:color w:val="FF0000"/>
          <w:sz w:val="36"/>
          <w:szCs w:val="36"/>
        </w:rPr>
        <w:t xml:space="preserve">Egypt (M.E. </w:t>
      </w:r>
      <w:proofErr w:type="spellStart"/>
      <w:r w:rsidRPr="002F1B57">
        <w:rPr>
          <w:rFonts w:asciiTheme="majorBidi" w:hAnsiTheme="majorBidi" w:cstheme="majorBidi"/>
          <w:b/>
          <w:bCs/>
          <w:color w:val="FF0000"/>
          <w:sz w:val="36"/>
          <w:szCs w:val="36"/>
        </w:rPr>
        <w:t>Mahrouse</w:t>
      </w:r>
      <w:proofErr w:type="spellEnd"/>
      <w:r w:rsidRPr="002F1B57">
        <w:rPr>
          <w:rFonts w:asciiTheme="majorBidi" w:hAnsiTheme="majorBidi" w:cstheme="majorBidi"/>
          <w:b/>
          <w:bCs/>
          <w:color w:val="FF0000"/>
          <w:sz w:val="36"/>
          <w:szCs w:val="36"/>
        </w:rPr>
        <w:t>).</w:t>
      </w:r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 El Salvador (R. Ruiz-Esparza). Estonia (O. Must </w:t>
      </w:r>
      <w:r w:rsidRPr="002F1B57">
        <w:rPr>
          <w:rStyle w:val="a5"/>
          <w:rFonts w:asciiTheme="majorBidi" w:hAnsiTheme="majorBidi" w:cstheme="majorBidi"/>
          <w:b/>
          <w:bCs/>
          <w:sz w:val="28"/>
          <w:szCs w:val="28"/>
        </w:rPr>
        <w:t>et al.</w:t>
      </w:r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Ethiopia (M.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Belachew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Fiji (F.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Maugubhai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Finland (M.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Herranen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France (A.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Monchablon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Gambia (M.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Ceesay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Germany (R.H. Lehmann). Ghana (Y.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Dwomoh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Greece (G.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Kontogiannopoulou-Polydorides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> </w:t>
      </w:r>
      <w:r w:rsidRPr="002F1B57">
        <w:rPr>
          <w:rStyle w:val="a5"/>
          <w:rFonts w:asciiTheme="majorBidi" w:hAnsiTheme="majorBidi" w:cstheme="majorBidi"/>
          <w:b/>
          <w:bCs/>
          <w:sz w:val="28"/>
          <w:szCs w:val="28"/>
        </w:rPr>
        <w:t>et al.</w:t>
      </w:r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Guadaloupe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 &amp; Martinique (C. Michel, G. Pigeon). Guatemala (M.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Leyton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 Soto). Guinea-Bissau (W.D.S. Leal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Filho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Guinea (H.A.B.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Diallo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Haiti (C. Pierre- Jacques). Honduras (A.L.de Valle). Hong Kong (M. Bray). Hungary (Z.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Báthory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Iceland (H.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Larusson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India (A.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Bordia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>). Indonesia (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Moegiadi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Jiyono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>). Iran (H. Aziz-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Zadeh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Ireland, Republic of (J.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Coolahan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Israel (E.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Shmueli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Italy (A.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Visalberghi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Jamaica (V.R. Been, R.R. Morris). Japan (T.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Kanaya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Jordan (M.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Masri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, T.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Bermamet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Kenya (M.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Kariuki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Kiribati (J.N.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Johnstone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Korea, Democratic People's Republic of (G-C. Chang). Korea, Republic of (S-H. Shin). Kuwait (M.G. Hussein). Laos (R.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Duberg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Latvia (A.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Piebalgs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Lebanon (G.S.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Zouain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Lesotho (A.N.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Seitlheko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Liberia (R.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Duberg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Libya (K.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Gezi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Lithuania (M.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Luksiene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, Z.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Jackunas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Luxembourg (M. Ant). Macau (C. Almeida, M. Bray). Madagascar (R.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Rakotondrazaka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Malawi (S.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Nyirenda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Malaysia (A.A. Aziz, S.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Maimunah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Maldives (A.H.A. Hakeem). Mali (A.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Ouane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Malta (C.J.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Farrugia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Mauritania (D.A.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Ousmane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Mauritius (S.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Munbodh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Mexico (M.E. Reyes). Mongolia (S. Spaulding). Morocco (M.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Radi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Mozambique (A.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Nhavotto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Myanmar (C.T.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Crellin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). Namibia (M.H.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Craelius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  </w:t>
      </w:r>
      <w:r w:rsidRPr="002F1B57">
        <w:rPr>
          <w:rStyle w:val="a5"/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et al.</w:t>
      </w:r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Nepal (T.R.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Khaniya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, M.A. Kiernan). Netherlands (E.J.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Vuyk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New Zealand (J.M. Barrington). Nicaragua (H. Belli). Niger (H. Bergmann). Nigeria (E.A.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Yoloye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Norway (I.R.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Bjorndal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). Oman (A.M. Al-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Shanfari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Pakistan (A.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Ghafoor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, R.A.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Farooq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Panama (M.A.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Gandasegui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Papua New Guinea (P.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Wari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, N. Hoi). Paraguay (D.M.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Rivarola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Peru (V.H. Diaz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Diaz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Philippines (M.C.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Sutaria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Poland (H.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Komorowska-Janowska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, A.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Janowski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). Portugal (J.M. Rau). Qatar (A.A.T. Al-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Subaie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Romania (G.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Vaideanu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Russia (N.D.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Nikandrov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Rwanda (P.B.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Ndengejeho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). Saudi Arabia (H.M. Al-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Baadi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Senegal (M. Sow). Seychelles (B.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Shamlaye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Sierra Leone (W.A. Taylor, A.B.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Sesay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Singapore (O.C.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Yeoh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Slovak Republic (J.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Vantuch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Slovenia (B.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Maventic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Pozarnik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South Africa (M.J.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Bondesio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, S.J.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Berkhout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Spain (G.A. Gil). Sri Lanka (A.M.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Ranaweera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Sudan (F. Leach). Suriname (W.W.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Dwarkasing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Swaziland (E.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Dlamini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Sweden (S.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Marklund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Switzerland (A.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Gretler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Syria (A.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Gennaoui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Tanzania (B.N.V.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Buretta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Thailand (T.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Boonchuay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, M.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Siaroon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Togo (A.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Mingat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Tonga (A.M.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Taufe'ulungaki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Tunisia (H. Ben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Jaballah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, B.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Lamine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Turkey (B.A.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Oney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Tuvalu (J.N.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Johnstone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Uganda (C.F.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Odaet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United Arab </w:t>
      </w:r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lastRenderedPageBreak/>
        <w:t xml:space="preserve">Emirates (M.A. Al-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Nayadi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United Kingdom (W.D. Halls). United States (G.A.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Valverde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). Uruguay (M.T. Salvo-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Paysse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, R.E. Cruz-Cárdenas). Vanuatu (J.N.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Johnstone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Venezuela (F.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Reimers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Vietnam (D.C. Bernard, Le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Thac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Can). Western Samoa (T.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Esera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Yemen (M.M.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Mottahar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Zaire (M.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Magabe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). Zimbabwe (B.S.M.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Gatawa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).</w:t>
      </w:r>
    </w:p>
    <w:p w:rsidR="002B164B" w:rsidRPr="002F1B57" w:rsidRDefault="002B164B" w:rsidP="002F1B57">
      <w:pPr>
        <w:pStyle w:val="2"/>
        <w:bidi w:val="0"/>
        <w:spacing w:before="0" w:line="240" w:lineRule="auto"/>
        <w:textAlignment w:val="baseline"/>
        <w:rPr>
          <w:rFonts w:asciiTheme="majorBidi" w:hAnsiTheme="majorBidi"/>
          <w:color w:val="auto"/>
          <w:sz w:val="28"/>
          <w:szCs w:val="28"/>
        </w:rPr>
      </w:pPr>
      <w:r w:rsidRPr="002F1B57">
        <w:rPr>
          <w:rFonts w:asciiTheme="majorBidi" w:hAnsiTheme="majorBidi"/>
          <w:color w:val="auto"/>
          <w:sz w:val="28"/>
          <w:szCs w:val="28"/>
        </w:rPr>
        <w:t xml:space="preserve">Details : </w:t>
      </w:r>
    </w:p>
    <w:p w:rsidR="002B164B" w:rsidRPr="002F1B57" w:rsidRDefault="002B164B" w:rsidP="002F1B57">
      <w:pPr>
        <w:shd w:val="clear" w:color="auto" w:fill="FFFFFF"/>
        <w:bidi w:val="0"/>
        <w:spacing w:after="0" w:line="240" w:lineRule="auto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Language:English</w:t>
      </w:r>
      <w:proofErr w:type="spellEnd"/>
    </w:p>
    <w:p w:rsidR="002B164B" w:rsidRPr="002F1B57" w:rsidRDefault="002B164B" w:rsidP="002F1B57">
      <w:pPr>
        <w:shd w:val="clear" w:color="auto" w:fill="FFFFFF"/>
        <w:bidi w:val="0"/>
        <w:spacing w:after="0" w:line="240" w:lineRule="auto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  <w:r w:rsidRPr="002F1B57">
        <w:rPr>
          <w:rFonts w:asciiTheme="majorBidi" w:hAnsiTheme="majorBidi" w:cstheme="majorBidi"/>
          <w:b/>
          <w:bCs/>
          <w:sz w:val="28"/>
          <w:szCs w:val="28"/>
        </w:rPr>
        <w:t xml:space="preserve">Copyright:© </w:t>
      </w: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Pergamon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> </w:t>
      </w:r>
      <w:r w:rsidRPr="002F1B57">
        <w:rPr>
          <w:rStyle w:val="copyright-year"/>
          <w:rFonts w:asciiTheme="majorBidi" w:hAnsiTheme="majorBidi" w:cstheme="majorBidi"/>
          <w:b/>
          <w:bCs/>
          <w:sz w:val="28"/>
          <w:szCs w:val="28"/>
        </w:rPr>
        <w:t>1995</w:t>
      </w:r>
    </w:p>
    <w:p w:rsidR="002B164B" w:rsidRPr="002F1B57" w:rsidRDefault="002B164B" w:rsidP="002F1B57">
      <w:pPr>
        <w:shd w:val="clear" w:color="auto" w:fill="FFFFFF"/>
        <w:bidi w:val="0"/>
        <w:spacing w:after="0" w:line="240" w:lineRule="auto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  <w:r w:rsidRPr="002F1B57">
        <w:rPr>
          <w:rFonts w:asciiTheme="majorBidi" w:hAnsiTheme="majorBidi" w:cstheme="majorBidi"/>
          <w:b/>
          <w:bCs/>
          <w:sz w:val="28"/>
          <w:szCs w:val="28"/>
        </w:rPr>
        <w:t>Published:7th July 1995</w:t>
      </w:r>
    </w:p>
    <w:p w:rsidR="002B164B" w:rsidRDefault="002B164B" w:rsidP="002F1B57">
      <w:pPr>
        <w:shd w:val="clear" w:color="auto" w:fill="FFFFFF"/>
        <w:bidi w:val="0"/>
        <w:spacing w:after="0" w:line="240" w:lineRule="auto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2F1B57">
        <w:rPr>
          <w:rFonts w:asciiTheme="majorBidi" w:hAnsiTheme="majorBidi" w:cstheme="majorBidi"/>
          <w:b/>
          <w:bCs/>
          <w:sz w:val="28"/>
          <w:szCs w:val="28"/>
        </w:rPr>
        <w:t>Imprint:Pergamon:Hardcover</w:t>
      </w:r>
      <w:proofErr w:type="spellEnd"/>
      <w:r w:rsidRPr="002F1B57">
        <w:rPr>
          <w:rFonts w:asciiTheme="majorBidi" w:hAnsiTheme="majorBidi" w:cstheme="majorBidi"/>
          <w:b/>
          <w:bCs/>
          <w:sz w:val="28"/>
          <w:szCs w:val="28"/>
        </w:rPr>
        <w:t> ISBN:9780080423029</w:t>
      </w:r>
    </w:p>
    <w:sectPr w:rsidR="002B164B" w:rsidSect="00D369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96611"/>
    <w:rsid w:val="001A6F95"/>
    <w:rsid w:val="002B164B"/>
    <w:rsid w:val="002F1B57"/>
    <w:rsid w:val="004A0959"/>
    <w:rsid w:val="00596611"/>
    <w:rsid w:val="00685AC1"/>
    <w:rsid w:val="00711342"/>
    <w:rsid w:val="007275AA"/>
    <w:rsid w:val="00C218C3"/>
    <w:rsid w:val="00CE57B2"/>
    <w:rsid w:val="00D11D55"/>
    <w:rsid w:val="00D36929"/>
    <w:rsid w:val="00F47E97"/>
    <w:rsid w:val="00FA6C3E"/>
    <w:rsid w:val="00FB058E"/>
    <w:rsid w:val="00FD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929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E57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E57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596611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59661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lfuvd">
    <w:name w:val="ilfuvd"/>
    <w:basedOn w:val="a0"/>
    <w:rsid w:val="00596611"/>
  </w:style>
  <w:style w:type="character" w:styleId="Hyperlink">
    <w:name w:val="Hyperlink"/>
    <w:basedOn w:val="a0"/>
    <w:uiPriority w:val="99"/>
    <w:semiHidden/>
    <w:unhideWhenUsed/>
    <w:rsid w:val="00596611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596611"/>
    <w:rPr>
      <w:i/>
      <w:iCs/>
    </w:rPr>
  </w:style>
  <w:style w:type="character" w:customStyle="1" w:styleId="1Char">
    <w:name w:val="عنوان 1 Char"/>
    <w:basedOn w:val="a0"/>
    <w:link w:val="1"/>
    <w:uiPriority w:val="9"/>
    <w:rsid w:val="00CE57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CE5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CE57B2"/>
    <w:rPr>
      <w:b/>
      <w:bCs/>
    </w:rPr>
  </w:style>
  <w:style w:type="character" w:customStyle="1" w:styleId="inline">
    <w:name w:val="inline"/>
    <w:basedOn w:val="a0"/>
    <w:rsid w:val="00CE57B2"/>
  </w:style>
  <w:style w:type="paragraph" w:styleId="a4">
    <w:name w:val="Normal (Web)"/>
    <w:basedOn w:val="a"/>
    <w:uiPriority w:val="99"/>
    <w:semiHidden/>
    <w:unhideWhenUsed/>
    <w:rsid w:val="001A6F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A6C3E"/>
    <w:rPr>
      <w:i/>
      <w:iCs/>
    </w:rPr>
  </w:style>
  <w:style w:type="character" w:customStyle="1" w:styleId="copyright-year">
    <w:name w:val="copyright-year"/>
    <w:basedOn w:val="a0"/>
    <w:rsid w:val="002B16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22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2666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4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19329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5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1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02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790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bagosh</dc:creator>
  <cp:keywords/>
  <dc:description/>
  <cp:lastModifiedBy>bagosh</cp:lastModifiedBy>
  <cp:revision>17</cp:revision>
  <dcterms:created xsi:type="dcterms:W3CDTF">2018-09-17T09:28:00Z</dcterms:created>
  <dcterms:modified xsi:type="dcterms:W3CDTF">2018-09-17T10:25:00Z</dcterms:modified>
</cp:coreProperties>
</file>